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40"/>
        <w:tblW w:w="10740" w:type="dxa"/>
        <w:tblLayout w:type="fixed"/>
        <w:tblLook w:val="01E0" w:firstRow="1" w:lastRow="1" w:firstColumn="1" w:lastColumn="1" w:noHBand="0" w:noVBand="0"/>
      </w:tblPr>
      <w:tblGrid>
        <w:gridCol w:w="2802"/>
        <w:gridCol w:w="7938"/>
      </w:tblGrid>
      <w:tr w:rsidR="00C06A90">
        <w:trPr>
          <w:trHeight w:val="1955"/>
        </w:trPr>
        <w:tc>
          <w:tcPr>
            <w:tcW w:w="2802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C06A90" w:rsidRDefault="009C784A">
            <w:pPr>
              <w:tabs>
                <w:tab w:val="left" w:pos="1470"/>
              </w:tabs>
              <w:rPr>
                <w:color w:val="993300"/>
              </w:rPr>
            </w:pPr>
            <w:r>
              <w:rPr>
                <w:noProof/>
                <w:color w:val="993300"/>
                <w:lang w:eastAsia="ru-RU"/>
              </w:rPr>
              <w:drawing>
                <wp:inline distT="0" distB="0" distL="0" distR="0">
                  <wp:extent cx="1588770" cy="1198778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1588770" cy="1198778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left w:val="single" w:sz="4" w:space="0" w:color="632423"/>
            </w:tcBorders>
          </w:tcPr>
          <w:p w:rsidR="00C06A90" w:rsidRDefault="009C784A">
            <w:pPr>
              <w:ind w:right="488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ПАМЯТКА </w:t>
            </w:r>
          </w:p>
          <w:p w:rsidR="00C06A90" w:rsidRDefault="00C06A90">
            <w:pPr>
              <w:ind w:right="488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06A90" w:rsidRDefault="009C784A">
            <w:pPr>
              <w:ind w:right="488"/>
              <w:jc w:val="center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 xml:space="preserve">Закон Иркутской области от 23 октября 2006 года № 63-оз </w:t>
            </w:r>
          </w:p>
          <w:p w:rsidR="00C06A90" w:rsidRDefault="009C784A">
            <w:pPr>
              <w:ind w:right="488"/>
              <w:jc w:val="center"/>
              <w:rPr>
                <w:color w:val="632423"/>
              </w:rPr>
            </w:pPr>
            <w:r>
              <w:rPr>
                <w:b/>
                <w:color w:val="632423"/>
              </w:rPr>
              <w:t>«О социальной поддержке в Иркутской области семей, имеющих детей</w:t>
            </w:r>
            <w:r>
              <w:rPr>
                <w:color w:val="632423"/>
              </w:rPr>
              <w:t>»</w:t>
            </w:r>
          </w:p>
          <w:p w:rsidR="00C06A90" w:rsidRDefault="00C06A90">
            <w:pPr>
              <w:ind w:right="488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06A90" w:rsidRDefault="009C784A">
            <w:pPr>
              <w:ind w:right="48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(МНОГОДЕТНЫЕ СЕМЬИ)</w:t>
            </w:r>
          </w:p>
        </w:tc>
      </w:tr>
    </w:tbl>
    <w:p w:rsidR="00C06A90" w:rsidRDefault="00C06A90">
      <w:pPr>
        <w:rPr>
          <w:vanish/>
          <w:sz w:val="20"/>
          <w:szCs w:val="20"/>
        </w:rPr>
      </w:pPr>
    </w:p>
    <w:tbl>
      <w:tblPr>
        <w:tblW w:w="11210" w:type="dxa"/>
        <w:tblInd w:w="-61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EEECE1"/>
        <w:tblLayout w:type="fixed"/>
        <w:tblLook w:val="01E0" w:firstRow="1" w:lastRow="1" w:firstColumn="1" w:lastColumn="1" w:noHBand="0" w:noVBand="0"/>
      </w:tblPr>
      <w:tblGrid>
        <w:gridCol w:w="1571"/>
        <w:gridCol w:w="9639"/>
      </w:tblGrid>
      <w:tr w:rsidR="00C06A90">
        <w:tc>
          <w:tcPr>
            <w:tcW w:w="1571" w:type="dxa"/>
            <w:shd w:val="clear" w:color="auto" w:fill="EEECE1"/>
          </w:tcPr>
          <w:p w:rsidR="00C06A90" w:rsidRDefault="00C06A90">
            <w:pPr>
              <w:rPr>
                <w:color w:val="632423"/>
                <w:sz w:val="23"/>
                <w:szCs w:val="23"/>
              </w:rPr>
            </w:pPr>
          </w:p>
          <w:p w:rsidR="00C06A90" w:rsidRDefault="009C784A">
            <w:pPr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1. Категория семей</w:t>
            </w:r>
          </w:p>
          <w:p w:rsidR="00C06A90" w:rsidRDefault="00C06A90">
            <w:pPr>
              <w:rPr>
                <w:color w:val="632423"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EEECE1"/>
          </w:tcPr>
          <w:p w:rsidR="00C06A90" w:rsidRDefault="00C06A90">
            <w:pPr>
              <w:ind w:right="33" w:firstLine="317"/>
              <w:jc w:val="both"/>
              <w:rPr>
                <w:color w:val="632423"/>
                <w:sz w:val="23"/>
                <w:szCs w:val="23"/>
              </w:rPr>
            </w:pPr>
          </w:p>
          <w:p w:rsidR="00C06A90" w:rsidRDefault="009C784A">
            <w:pPr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С</w:t>
            </w:r>
            <w:r>
              <w:rPr>
                <w:color w:val="632423"/>
                <w:sz w:val="23"/>
                <w:szCs w:val="23"/>
                <w:lang w:eastAsia="ru-RU"/>
              </w:rPr>
              <w:t xml:space="preserve">емьи, имеющие в своем составе трех и более детей, не достигших возраста </w:t>
            </w:r>
            <w:r>
              <w:rPr>
                <w:color w:val="632423"/>
                <w:sz w:val="23"/>
                <w:szCs w:val="23"/>
                <w:lang w:eastAsia="ru-RU"/>
              </w:rPr>
              <w:br w:type="textWrapping" w:clear="all"/>
              <w:t>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расчете на душу населения по районам Крайнего Севера области и местностям, приравненным к районам Крайнего Севера, - для семей, проживающих (пребывающих) в таких районах (местностях), двукратной величины прожиточного минимума, установленной в расчете на душу населения в целом по области, - для семей, проживающих (пребывающих) в иных местностях области.</w:t>
            </w:r>
          </w:p>
        </w:tc>
      </w:tr>
      <w:tr w:rsidR="00C06A90">
        <w:tc>
          <w:tcPr>
            <w:tcW w:w="1571" w:type="dxa"/>
            <w:shd w:val="clear" w:color="auto" w:fill="EEECE1"/>
          </w:tcPr>
          <w:p w:rsidR="00C06A90" w:rsidRDefault="009C784A">
            <w:pPr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2. Куда обращаться</w:t>
            </w:r>
          </w:p>
        </w:tc>
        <w:tc>
          <w:tcPr>
            <w:tcW w:w="9639" w:type="dxa"/>
            <w:shd w:val="clear" w:color="auto" w:fill="EEECE1"/>
          </w:tcPr>
          <w:p w:rsidR="00C06A90" w:rsidRDefault="00577A62">
            <w:pPr>
              <w:ind w:right="33" w:firstLine="317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С заявлением</w:t>
            </w:r>
            <w:bookmarkStart w:id="0" w:name="_GoBack"/>
            <w:bookmarkEnd w:id="0"/>
            <w:r>
              <w:rPr>
                <w:color w:val="632423"/>
                <w:sz w:val="23"/>
                <w:szCs w:val="23"/>
              </w:rPr>
              <w:t xml:space="preserve"> в</w:t>
            </w:r>
            <w:r w:rsidR="009C784A">
              <w:rPr>
                <w:color w:val="632423"/>
                <w:sz w:val="23"/>
                <w:szCs w:val="23"/>
              </w:rPr>
              <w:t xml:space="preserve"> учреждение социальной защиты населения </w:t>
            </w:r>
            <w:r w:rsidR="009C784A">
              <w:rPr>
                <w:color w:val="632423"/>
                <w:sz w:val="23"/>
                <w:szCs w:val="23"/>
                <w:lang w:eastAsia="ru-RU"/>
              </w:rPr>
              <w:t xml:space="preserve">по месту жительства (месту пребывания), </w:t>
            </w:r>
            <w:r w:rsidR="009C784A">
              <w:rPr>
                <w:color w:val="632423"/>
                <w:sz w:val="23"/>
                <w:szCs w:val="23"/>
              </w:rPr>
              <w:t>в отделы по обслуживанию заявителей государственного автономного учреждения «Иркутский областной многофункциональный центр предоставления государственных и муниципальных услуг».</w:t>
            </w:r>
          </w:p>
        </w:tc>
      </w:tr>
      <w:tr w:rsidR="00C06A90">
        <w:tc>
          <w:tcPr>
            <w:tcW w:w="1571" w:type="dxa"/>
            <w:shd w:val="clear" w:color="auto" w:fill="EEECE1"/>
          </w:tcPr>
          <w:p w:rsidR="00C06A90" w:rsidRDefault="009C784A" w:rsidP="009C784A">
            <w:pPr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3: Меры социальной поддержки многодетным семьям с 01.01.2023</w:t>
            </w:r>
          </w:p>
        </w:tc>
        <w:tc>
          <w:tcPr>
            <w:tcW w:w="9639" w:type="dxa"/>
            <w:shd w:val="clear" w:color="auto" w:fill="EEECE1"/>
          </w:tcPr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1) преимущества при приеме детей в муниципальные дошкольные образовательные организации, государственные дошкольные образовательные организации государственные организации дополнительного образования детей, находящихся в ведении области;</w:t>
            </w:r>
          </w:p>
          <w:p w:rsidR="00C06A90" w:rsidRDefault="009C784A">
            <w:pPr>
              <w:pStyle w:val="ConsPlusNormal"/>
              <w:ind w:right="33" w:firstLine="317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2)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 до 6 лет;</w:t>
            </w:r>
          </w:p>
          <w:p w:rsidR="00C06A90" w:rsidRDefault="009C784A">
            <w:pPr>
              <w:ind w:firstLine="540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</w:rPr>
              <w:t xml:space="preserve">3) обеспечение бесплатного питания для учащихся, посещающих муниципальные общеобразовательные организации, а также посещающих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программам, а при отсутствии в таких организациях организованного питания – предоставление набора продуктов питания (в том числе учащиеся, </w:t>
            </w:r>
            <w:r>
              <w:rPr>
                <w:color w:val="632423"/>
                <w:sz w:val="23"/>
                <w:szCs w:val="23"/>
                <w:lang w:eastAsia="ru-RU"/>
              </w:rPr>
              <w:t>достигшие возраста 18 лет, продолжающие обучение в общеобразовательных организациях);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4) 1 раз в 2 года предоставление пособия на приобретение для детей комплекта одежды и спортивной формы для посещения школьных занятий, в сумме </w:t>
            </w:r>
            <w:r>
              <w:rPr>
                <w:b/>
                <w:bCs/>
                <w:color w:val="632423"/>
                <w:sz w:val="23"/>
                <w:szCs w:val="23"/>
              </w:rPr>
              <w:t>1 229,31</w:t>
            </w:r>
            <w:r>
              <w:rPr>
                <w:b/>
                <w:color w:val="632423"/>
                <w:sz w:val="23"/>
                <w:szCs w:val="23"/>
              </w:rPr>
              <w:t xml:space="preserve"> руб</w:t>
            </w:r>
            <w:r>
              <w:rPr>
                <w:color w:val="632423"/>
                <w:sz w:val="23"/>
                <w:szCs w:val="23"/>
              </w:rPr>
              <w:t>.;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5) выплата студентам, обучающимся по очной форме обучения в государственных профессиональных образовательных организациях области,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образования, социальных стипендий;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6) бесплатное посещение государственных учреждений культуры, находящиеся в ведении области, 1 раз в месяц;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7) ежемесячная выплата социального пособия в размере </w:t>
            </w:r>
            <w:r>
              <w:rPr>
                <w:b/>
                <w:color w:val="632423"/>
                <w:sz w:val="23"/>
                <w:szCs w:val="23"/>
              </w:rPr>
              <w:t>245,88 руб</w:t>
            </w:r>
            <w:r>
              <w:rPr>
                <w:color w:val="632423"/>
                <w:sz w:val="23"/>
                <w:szCs w:val="23"/>
              </w:rPr>
              <w:t>. на каждого ребенка;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8) денежная компенсация 30 процентов расходов на оплату жилого помещения и коммунальных услуг.</w:t>
            </w:r>
          </w:p>
          <w:p w:rsidR="00C06A90" w:rsidRDefault="009C784A">
            <w:pPr>
              <w:ind w:right="33" w:firstLine="317"/>
              <w:jc w:val="both"/>
              <w:rPr>
                <w:i/>
                <w:color w:val="632423"/>
                <w:sz w:val="23"/>
                <w:szCs w:val="23"/>
              </w:rPr>
            </w:pPr>
            <w:r>
              <w:rPr>
                <w:i/>
                <w:color w:val="632423"/>
                <w:sz w:val="23"/>
                <w:szCs w:val="23"/>
              </w:rPr>
              <w:t>Право на меру социальной поддержки, предусмотренную пунктом 8, имеют многодетные семьи, не получающие меру социальной поддержки, предусмотренную пунктом 7.</w:t>
            </w:r>
          </w:p>
        </w:tc>
      </w:tr>
      <w:tr w:rsidR="00C06A90">
        <w:tc>
          <w:tcPr>
            <w:tcW w:w="1571" w:type="dxa"/>
            <w:shd w:val="clear" w:color="auto" w:fill="EEECE1"/>
          </w:tcPr>
          <w:p w:rsidR="00C06A90" w:rsidRDefault="009C784A">
            <w:pPr>
              <w:ind w:right="72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4. Условия</w:t>
            </w:r>
          </w:p>
          <w:p w:rsidR="00C06A90" w:rsidRDefault="00C06A90">
            <w:pPr>
              <w:ind w:right="72"/>
              <w:rPr>
                <w:color w:val="632423"/>
                <w:sz w:val="23"/>
                <w:szCs w:val="23"/>
                <w:lang w:eastAsia="ru-RU"/>
              </w:rPr>
            </w:pPr>
          </w:p>
        </w:tc>
        <w:tc>
          <w:tcPr>
            <w:tcW w:w="9639" w:type="dxa"/>
            <w:shd w:val="clear" w:color="auto" w:fill="EEECE1"/>
          </w:tcPr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Меры социальной поддержки многодетным семьям, (за исключением семей, состоящих на учете в банке данных Иркутской области о семьях и несовершеннолетних, находящихся в социально опасном положении) предоставляются при условии осуществления трудоспособными членами семьи трудовой или иной приносящей доход деятельности либо признания членов семьи (одного из членов семьи) безработными (безработным) в соответствии с законодательством, кроме случаев: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ухода за ребенком до достижения им возраста 3-х лет или ухода за ребенком в возрасте от 3-х до 18 лет, имеющим медицинские противопоказания для посещения образовательной организации;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ухода за тремя и более детьми, не достигшими возраста 18 лет, их единственным законным представителем, одним из законных представителей, мачехой, отчимом;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ухода за ребенком-инвалидом;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lastRenderedPageBreak/>
              <w:t>ухода за инвалидом I группы;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ухода за престарелым, нуждающимся по заключению медицинской организации в постоянном постороннем уходе либо достигшим возраста 80 лет;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обучения по очной форме в профессиональной образовательной организации либо в образовательной организации высшего образования;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прохождения военной службы по призыву;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отбывания наказания в виде лишения свободы либо применения меры пресечения в виде заключения под стражу, а также нахождения на принудительном лечении по решению суда;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нахождения в розыске;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ведения личного подсобного хозяйства.</w:t>
            </w:r>
          </w:p>
        </w:tc>
      </w:tr>
      <w:tr w:rsidR="00C06A90">
        <w:tc>
          <w:tcPr>
            <w:tcW w:w="1571" w:type="dxa"/>
            <w:shd w:val="clear" w:color="auto" w:fill="EEECE1"/>
          </w:tcPr>
          <w:p w:rsidR="00C06A90" w:rsidRDefault="00577A62">
            <w:pPr>
              <w:rPr>
                <w:color w:val="632423"/>
                <w:sz w:val="23"/>
                <w:szCs w:val="23"/>
              </w:rPr>
            </w:pPr>
            <w:r w:rsidRPr="00577A62">
              <w:rPr>
                <w:color w:val="632423"/>
                <w:sz w:val="23"/>
                <w:szCs w:val="23"/>
              </w:rPr>
              <w:lastRenderedPageBreak/>
              <w:t>5. Документы (сведения), необходимые для назначения мер социальной поддержки</w:t>
            </w:r>
          </w:p>
        </w:tc>
        <w:tc>
          <w:tcPr>
            <w:tcW w:w="9639" w:type="dxa"/>
            <w:shd w:val="clear" w:color="auto" w:fill="EEECE1"/>
          </w:tcPr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1) паспорт либо иной документ, удостоверяющий личность законного представителя ребенка (детей);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2) акт органа опеки и попечительства о назначении опекуна или попечителя - для опекунов и попечителей;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bookmarkStart w:id="1" w:name="Par5"/>
            <w:bookmarkStart w:id="2" w:name="Par6"/>
            <w:bookmarkEnd w:id="1"/>
            <w:bookmarkEnd w:id="2"/>
            <w:r>
              <w:rPr>
                <w:color w:val="632423"/>
                <w:sz w:val="23"/>
                <w:szCs w:val="23"/>
                <w:lang w:eastAsia="ru-RU"/>
              </w:rPr>
              <w:t>3) свидетельство (свидетельства) о рождении ребенка (детей) и паспорт (паспорта) - для ребенка (детей), достигшего (достигших) возраста 14 лет;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4) свидетельство о браке - для законных представителей, состоящих в браке с лицами, не являющимися родителями детей (мачехой, отчимом);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5) документы, подтверждающие регистрацию по месту жительства (месту пребывания) на территории области законного представителя ребенка (детей) и членов его семьи, и (или) решение суда об установлении факта совместного проживания законного представителя ребенка (детей) и указанных им в заявлении членов семьи на территории области;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 xml:space="preserve">6) документы, подтверждающие размер доходов каждого члена семьи за шесть последних календарных месяцев, предшествующих подаче заявления, 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7) документы, подтверждающие наличие исключительных случаев;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8) справка общеобразовательной организации об обучении ребенка (детей);</w:t>
            </w:r>
          </w:p>
          <w:p w:rsidR="00C06A90" w:rsidRDefault="009C784A">
            <w:pPr>
              <w:ind w:right="33" w:firstLine="317"/>
              <w:jc w:val="both"/>
              <w:rPr>
                <w:i/>
                <w:color w:val="632423"/>
                <w:sz w:val="23"/>
                <w:szCs w:val="23"/>
                <w:lang w:eastAsia="ru-RU"/>
              </w:rPr>
            </w:pPr>
            <w:r>
              <w:rPr>
                <w:i/>
                <w:color w:val="632423"/>
                <w:sz w:val="23"/>
                <w:szCs w:val="23"/>
                <w:lang w:eastAsia="ru-RU"/>
              </w:rPr>
              <w:t>В случае обращения за денежной компенсацией на оплату жилья и коммунальных услуг: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9) справка о размере занимаемой общей площади жилого помещения и наличии либо отсутствии печного отопления;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 xml:space="preserve">10) документы, подтверждающие фактически понесенные расходы на доставку твердого топлива (гражданско-правовые договоры и платежные документы, расписки в получении платежей – </w:t>
            </w:r>
            <w:r>
              <w:rPr>
                <w:i/>
                <w:color w:val="632423"/>
                <w:sz w:val="23"/>
                <w:szCs w:val="23"/>
                <w:lang w:eastAsia="ru-RU"/>
              </w:rPr>
              <w:t>при наличии печного отопления.</w:t>
            </w:r>
          </w:p>
        </w:tc>
      </w:tr>
      <w:tr w:rsidR="00C06A90">
        <w:tc>
          <w:tcPr>
            <w:tcW w:w="1571" w:type="dxa"/>
            <w:shd w:val="clear" w:color="auto" w:fill="EEECE1"/>
          </w:tcPr>
          <w:p w:rsidR="00C06A90" w:rsidRDefault="009C784A">
            <w:pPr>
              <w:ind w:right="72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6.Внимание!</w:t>
            </w:r>
          </w:p>
        </w:tc>
        <w:tc>
          <w:tcPr>
            <w:tcW w:w="9639" w:type="dxa"/>
            <w:shd w:val="clear" w:color="auto" w:fill="EEECE1"/>
          </w:tcPr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1. В качестве доходов многодетных семей не учитываются: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1) доходы, полученные единственным законным представителем ребенка (детей) - инвалидом I группы либо нетрудоспособным инвалидом II группы, а также обоими законными представителями, мачехой, отчимом ребенка (детей) - инвалидами I группы либо нетрудоспособными инвалидами II группы;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2) доходы, полученные единственным законным представителем, одним из законных представителей, мачехой, отчимом, осуществляющим (осуществляющей) уход за тремя и более детьми, не достигшими возраста 18 лет.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>2. Предоставление мер социальной поддержки многодетным семьям, состоящим на учете в банке данных Иркутской области о семьях и несовершеннолетних, находящихся в социально опасном положении, осуществляется по заявлению законного представителя ребенка (детей), к которому прилагаются его паспорт либо иной документ, удостоверяющий личность, а также ходатайство районной (городской), районной в городе комиссии по делам несовершеннолетних и защите их прав по месту жительства или месту пребывания семьи.</w:t>
            </w:r>
          </w:p>
          <w:p w:rsidR="00C06A90" w:rsidRDefault="009C784A">
            <w:pPr>
              <w:ind w:right="33" w:firstLine="317"/>
              <w:jc w:val="both"/>
              <w:rPr>
                <w:color w:val="632423"/>
                <w:sz w:val="23"/>
                <w:szCs w:val="23"/>
                <w:lang w:eastAsia="ru-RU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 xml:space="preserve">3. Мера социальной поддержки в виде </w:t>
            </w:r>
            <w:r>
              <w:rPr>
                <w:color w:val="632423"/>
                <w:sz w:val="23"/>
                <w:szCs w:val="23"/>
              </w:rPr>
              <w:t xml:space="preserve">обеспечения бесплатного питания для учащихся, посещающих общеобразовательные организации, а при отсутствии в таких организациях организованного питания – предоставление набора продуктов питания, предоставляется многодетным семьям </w:t>
            </w:r>
            <w:r>
              <w:rPr>
                <w:color w:val="632423"/>
                <w:sz w:val="23"/>
                <w:szCs w:val="23"/>
                <w:u w:val="single"/>
              </w:rPr>
              <w:t xml:space="preserve">без учета </w:t>
            </w:r>
            <w:r>
              <w:rPr>
                <w:color w:val="632423"/>
                <w:sz w:val="23"/>
                <w:szCs w:val="23"/>
                <w:u w:val="single"/>
                <w:lang w:eastAsia="ru-RU"/>
              </w:rPr>
              <w:t>среднедушевого дохода семьи</w:t>
            </w:r>
            <w:r>
              <w:rPr>
                <w:color w:val="632423"/>
                <w:sz w:val="23"/>
                <w:szCs w:val="23"/>
                <w:lang w:eastAsia="ru-RU"/>
              </w:rPr>
              <w:t>.</w:t>
            </w:r>
          </w:p>
          <w:p w:rsidR="00C06A90" w:rsidRDefault="009C784A">
            <w:pPr>
              <w:ind w:right="33" w:firstLine="317"/>
              <w:jc w:val="both"/>
              <w:rPr>
                <w:b/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  <w:lang w:eastAsia="ru-RU"/>
              </w:rPr>
              <w:t xml:space="preserve">4. Для подтверждения права на дальнейшее предоставление мер социальной поддержки, законный представитель ребенка (детей) представляет в учреждение </w:t>
            </w:r>
            <w:r>
              <w:rPr>
                <w:color w:val="632423"/>
                <w:sz w:val="23"/>
                <w:szCs w:val="23"/>
                <w:lang w:eastAsia="ru-RU"/>
              </w:rPr>
              <w:br w:type="textWrapping" w:clear="all"/>
            </w:r>
            <w:r>
              <w:rPr>
                <w:color w:val="632423"/>
                <w:sz w:val="23"/>
                <w:szCs w:val="23"/>
                <w:u w:val="single"/>
                <w:lang w:eastAsia="ru-RU"/>
              </w:rPr>
              <w:t>один раз в год</w:t>
            </w:r>
            <w:r>
              <w:rPr>
                <w:color w:val="632423"/>
                <w:sz w:val="23"/>
                <w:szCs w:val="23"/>
                <w:lang w:eastAsia="ru-RU"/>
              </w:rPr>
              <w:t xml:space="preserve"> заявление о подтверждении права на их дальнейшее предоставление.</w:t>
            </w:r>
          </w:p>
        </w:tc>
      </w:tr>
    </w:tbl>
    <w:p w:rsidR="00343461" w:rsidRDefault="00343461"/>
    <w:sectPr w:rsidR="00343461">
      <w:pgSz w:w="11906" w:h="16838"/>
      <w:pgMar w:top="45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A90" w:rsidRDefault="009C784A">
      <w:r>
        <w:separator/>
      </w:r>
    </w:p>
  </w:endnote>
  <w:endnote w:type="continuationSeparator" w:id="0">
    <w:p w:rsidR="00C06A90" w:rsidRDefault="009C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A90" w:rsidRDefault="009C784A">
      <w:r>
        <w:separator/>
      </w:r>
    </w:p>
  </w:footnote>
  <w:footnote w:type="continuationSeparator" w:id="0">
    <w:p w:rsidR="00C06A90" w:rsidRDefault="009C7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90"/>
    <w:rsid w:val="0033000F"/>
    <w:rsid w:val="00343461"/>
    <w:rsid w:val="00577A62"/>
    <w:rsid w:val="009C784A"/>
    <w:rsid w:val="00B933E6"/>
    <w:rsid w:val="00BE7AFA"/>
    <w:rsid w:val="00C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2C7F3-B17C-4826-BF2E-A518D888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3">
    <w:name w:val="Название1"/>
    <w:basedOn w:val="a"/>
    <w:qFormat/>
    <w:pPr>
      <w:jc w:val="center"/>
    </w:pPr>
    <w:rPr>
      <w:sz w:val="32"/>
      <w:szCs w:val="20"/>
      <w:lang w:eastAsia="ru-RU"/>
    </w:r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b">
    <w:name w:val="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</vt:lpstr>
    </vt:vector>
  </TitlesOfParts>
  <Company>GUSZN</Company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</dc:title>
  <dc:creator>100-ssk</dc:creator>
  <cp:lastModifiedBy>Новак Нелли Сергеевна</cp:lastModifiedBy>
  <cp:revision>78</cp:revision>
  <dcterms:created xsi:type="dcterms:W3CDTF">2018-06-04T04:17:00Z</dcterms:created>
  <dcterms:modified xsi:type="dcterms:W3CDTF">2023-01-10T09:14:00Z</dcterms:modified>
  <cp:version>983040</cp:version>
</cp:coreProperties>
</file>